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E8" w:rsidRPr="009A1FA1" w:rsidRDefault="009A439B" w:rsidP="005F6C3F">
      <w:pPr>
        <w:numPr>
          <w:ilvl w:val="0"/>
          <w:numId w:val="1"/>
        </w:numPr>
        <w:tabs>
          <w:tab w:val="clear" w:pos="720"/>
          <w:tab w:val="num" w:pos="360"/>
        </w:tabs>
        <w:spacing w:before="240"/>
        <w:ind w:left="357" w:hanging="357"/>
        <w:jc w:val="both"/>
        <w:rPr>
          <w:rFonts w:ascii="Arial" w:hAnsi="Arial" w:cs="Arial"/>
          <w:color w:val="auto"/>
          <w:sz w:val="22"/>
          <w:szCs w:val="22"/>
        </w:rPr>
      </w:pPr>
      <w:bookmarkStart w:id="0" w:name="_GoBack"/>
      <w:bookmarkEnd w:id="0"/>
      <w:r>
        <w:rPr>
          <w:rFonts w:ascii="Arial" w:hAnsi="Arial" w:cs="Arial"/>
          <w:color w:val="auto"/>
          <w:sz w:val="22"/>
          <w:szCs w:val="22"/>
        </w:rPr>
        <w:t>T</w:t>
      </w:r>
      <w:r w:rsidR="00FC4EE8" w:rsidRPr="009A1FA1">
        <w:rPr>
          <w:rFonts w:ascii="Arial" w:hAnsi="Arial" w:cs="Arial"/>
          <w:color w:val="auto"/>
          <w:sz w:val="22"/>
          <w:szCs w:val="22"/>
        </w:rPr>
        <w:t xml:space="preserve">he </w:t>
      </w:r>
      <w:r w:rsidR="007D05D2">
        <w:rPr>
          <w:rFonts w:ascii="Arial" w:hAnsi="Arial" w:cs="Arial"/>
          <w:color w:val="auto"/>
          <w:sz w:val="22"/>
          <w:szCs w:val="22"/>
        </w:rPr>
        <w:t>Gladstone Area Water Board (</w:t>
      </w:r>
      <w:r w:rsidR="00FC4EE8" w:rsidRPr="009A1FA1">
        <w:rPr>
          <w:rFonts w:ascii="Arial" w:hAnsi="Arial" w:cs="Arial"/>
          <w:color w:val="auto"/>
          <w:sz w:val="22"/>
          <w:szCs w:val="22"/>
        </w:rPr>
        <w:t>GAWB</w:t>
      </w:r>
      <w:r w:rsidR="007D05D2">
        <w:rPr>
          <w:rFonts w:ascii="Arial" w:hAnsi="Arial" w:cs="Arial"/>
          <w:color w:val="auto"/>
          <w:sz w:val="22"/>
          <w:szCs w:val="22"/>
        </w:rPr>
        <w:t>)</w:t>
      </w:r>
      <w:r w:rsidR="00FC4EE8" w:rsidRPr="009A1FA1">
        <w:rPr>
          <w:rFonts w:ascii="Arial" w:hAnsi="Arial" w:cs="Arial"/>
          <w:color w:val="auto"/>
          <w:sz w:val="22"/>
          <w:szCs w:val="22"/>
        </w:rPr>
        <w:t xml:space="preserve"> and the </w:t>
      </w:r>
      <w:r w:rsidR="007D05D2">
        <w:rPr>
          <w:rFonts w:ascii="Arial" w:hAnsi="Arial" w:cs="Arial"/>
          <w:color w:val="auto"/>
          <w:sz w:val="22"/>
          <w:szCs w:val="22"/>
        </w:rPr>
        <w:t>Mount Isa Water Board (</w:t>
      </w:r>
      <w:r w:rsidR="00FC4EE8" w:rsidRPr="009A1FA1">
        <w:rPr>
          <w:rFonts w:ascii="Arial" w:hAnsi="Arial" w:cs="Arial"/>
          <w:color w:val="auto"/>
          <w:sz w:val="22"/>
          <w:szCs w:val="22"/>
        </w:rPr>
        <w:t>MIWB</w:t>
      </w:r>
      <w:r w:rsidR="007D05D2">
        <w:rPr>
          <w:rFonts w:ascii="Arial" w:hAnsi="Arial" w:cs="Arial"/>
          <w:color w:val="auto"/>
          <w:sz w:val="22"/>
          <w:szCs w:val="22"/>
        </w:rPr>
        <w:t>)</w:t>
      </w:r>
      <w:r w:rsidR="00FC4EE8" w:rsidRPr="009A1FA1">
        <w:rPr>
          <w:rFonts w:ascii="Arial" w:hAnsi="Arial" w:cs="Arial"/>
          <w:color w:val="auto"/>
          <w:sz w:val="22"/>
          <w:szCs w:val="22"/>
        </w:rPr>
        <w:t xml:space="preserve"> are Category 1 Water Authorities under the </w:t>
      </w:r>
      <w:r w:rsidR="00FC4EE8" w:rsidRPr="009A1FA1">
        <w:rPr>
          <w:rFonts w:ascii="Arial" w:hAnsi="Arial" w:cs="Arial"/>
          <w:i/>
          <w:iCs/>
          <w:color w:val="auto"/>
          <w:sz w:val="22"/>
          <w:szCs w:val="22"/>
        </w:rPr>
        <w:t xml:space="preserve">Water Act 2000 </w:t>
      </w:r>
      <w:r w:rsidR="00FC4EE8" w:rsidRPr="009A1FA1">
        <w:rPr>
          <w:rFonts w:ascii="Arial" w:hAnsi="Arial" w:cs="Arial"/>
          <w:color w:val="auto"/>
          <w:sz w:val="22"/>
          <w:szCs w:val="22"/>
        </w:rPr>
        <w:t>(Water Act). The GAWB and MIWB are required to act commercially with appropriate management and performance systems, capital structure and dividend policies. Both must meet taxation obligations, performance targets and specific quarterly and annual reporting requirements. Board members need the requisite skill</w:t>
      </w:r>
      <w:r w:rsidR="007D05D2">
        <w:rPr>
          <w:rFonts w:ascii="Arial" w:hAnsi="Arial" w:cs="Arial"/>
          <w:color w:val="auto"/>
          <w:sz w:val="22"/>
          <w:szCs w:val="22"/>
        </w:rPr>
        <w:t>s to oversee these requirements.</w:t>
      </w:r>
    </w:p>
    <w:p w:rsidR="00FC4EE8" w:rsidRPr="009A1FA1" w:rsidRDefault="00FC4EE8" w:rsidP="005F6C3F">
      <w:pPr>
        <w:numPr>
          <w:ilvl w:val="0"/>
          <w:numId w:val="1"/>
        </w:numPr>
        <w:tabs>
          <w:tab w:val="clear" w:pos="720"/>
          <w:tab w:val="num" w:pos="360"/>
        </w:tabs>
        <w:spacing w:before="240"/>
        <w:ind w:left="357" w:hanging="357"/>
        <w:jc w:val="both"/>
        <w:rPr>
          <w:rFonts w:ascii="Arial" w:hAnsi="Arial" w:cs="Arial"/>
          <w:color w:val="auto"/>
          <w:sz w:val="22"/>
          <w:szCs w:val="22"/>
        </w:rPr>
      </w:pPr>
      <w:r w:rsidRPr="009A1FA1">
        <w:rPr>
          <w:rFonts w:ascii="Arial" w:hAnsi="Arial" w:cs="Arial"/>
          <w:color w:val="auto"/>
          <w:sz w:val="22"/>
          <w:szCs w:val="22"/>
        </w:rPr>
        <w:t xml:space="preserve">In 2013, </w:t>
      </w:r>
      <w:r w:rsidR="007D05D2">
        <w:rPr>
          <w:rFonts w:ascii="Arial" w:hAnsi="Arial" w:cs="Arial"/>
          <w:color w:val="auto"/>
          <w:sz w:val="22"/>
          <w:szCs w:val="22"/>
        </w:rPr>
        <w:t>the Department of Energy and Water Supply</w:t>
      </w:r>
      <w:r w:rsidRPr="009A1FA1">
        <w:rPr>
          <w:rFonts w:ascii="Arial" w:hAnsi="Arial" w:cs="Arial"/>
          <w:color w:val="auto"/>
          <w:sz w:val="22"/>
          <w:szCs w:val="22"/>
        </w:rPr>
        <w:t xml:space="preserve"> undertook a Board structure review (review) of </w:t>
      </w:r>
      <w:r w:rsidR="007D05D2">
        <w:rPr>
          <w:rFonts w:ascii="Arial" w:hAnsi="Arial" w:cs="Arial"/>
          <w:color w:val="auto"/>
          <w:sz w:val="22"/>
          <w:szCs w:val="22"/>
        </w:rPr>
        <w:t>both Boards</w:t>
      </w:r>
      <w:r w:rsidRPr="009A1FA1">
        <w:rPr>
          <w:rFonts w:ascii="Arial" w:hAnsi="Arial" w:cs="Arial"/>
          <w:color w:val="auto"/>
          <w:sz w:val="22"/>
          <w:szCs w:val="22"/>
        </w:rPr>
        <w:t xml:space="preserve"> in order to identify and recommend the most appropriate structures going forward taking account of the need to have strong business skills and local representation. The review considered the director skills required to facilitate strategic planning and allow the authorities to best meet the water requirements of their local c</w:t>
      </w:r>
      <w:r w:rsidR="0020238C">
        <w:rPr>
          <w:rFonts w:ascii="Arial" w:hAnsi="Arial" w:cs="Arial"/>
          <w:color w:val="auto"/>
          <w:sz w:val="22"/>
          <w:szCs w:val="22"/>
        </w:rPr>
        <w:t>ommunities well into the future.</w:t>
      </w:r>
    </w:p>
    <w:p w:rsidR="001929F8" w:rsidRDefault="00FC4EE8" w:rsidP="005F6C3F">
      <w:pPr>
        <w:numPr>
          <w:ilvl w:val="0"/>
          <w:numId w:val="1"/>
        </w:numPr>
        <w:tabs>
          <w:tab w:val="clear" w:pos="720"/>
          <w:tab w:val="num" w:pos="360"/>
        </w:tabs>
        <w:spacing w:before="240"/>
        <w:ind w:left="357" w:hanging="357"/>
        <w:jc w:val="both"/>
        <w:rPr>
          <w:rFonts w:ascii="Arial" w:hAnsi="Arial" w:cs="Arial"/>
          <w:color w:val="auto"/>
          <w:sz w:val="22"/>
          <w:szCs w:val="22"/>
        </w:rPr>
      </w:pPr>
      <w:r w:rsidRPr="001929F8">
        <w:rPr>
          <w:rFonts w:ascii="Arial" w:hAnsi="Arial" w:cs="Arial"/>
          <w:color w:val="auto"/>
          <w:sz w:val="22"/>
          <w:szCs w:val="22"/>
        </w:rPr>
        <w:t xml:space="preserve">The review led to changes to the Boards’ structures being gazetted on 27 September 2013. </w:t>
      </w:r>
    </w:p>
    <w:p w:rsidR="00FC4EE8" w:rsidRPr="001929F8" w:rsidRDefault="00FC4EE8" w:rsidP="005F6C3F">
      <w:pPr>
        <w:numPr>
          <w:ilvl w:val="0"/>
          <w:numId w:val="1"/>
        </w:numPr>
        <w:tabs>
          <w:tab w:val="clear" w:pos="720"/>
          <w:tab w:val="num" w:pos="360"/>
        </w:tabs>
        <w:spacing w:before="240"/>
        <w:ind w:left="357" w:hanging="357"/>
        <w:jc w:val="both"/>
        <w:rPr>
          <w:rFonts w:ascii="Arial" w:hAnsi="Arial" w:cs="Arial"/>
          <w:color w:val="auto"/>
          <w:sz w:val="22"/>
          <w:szCs w:val="22"/>
        </w:rPr>
      </w:pPr>
      <w:r w:rsidRPr="001929F8">
        <w:rPr>
          <w:rFonts w:ascii="Arial" w:hAnsi="Arial" w:cs="Arial"/>
          <w:color w:val="auto"/>
          <w:sz w:val="22"/>
          <w:szCs w:val="22"/>
        </w:rPr>
        <w:t>Overall, the skills and experience of the proposed directors for MIWB and GAWB cover a variety of fields. This will contribute to each Board having the appropriate range of skill</w:t>
      </w:r>
      <w:r w:rsidR="0020238C" w:rsidRPr="001929F8">
        <w:rPr>
          <w:rFonts w:ascii="Arial" w:hAnsi="Arial" w:cs="Arial"/>
          <w:color w:val="auto"/>
          <w:sz w:val="22"/>
          <w:szCs w:val="22"/>
        </w:rPr>
        <w:t>s set</w:t>
      </w:r>
      <w:r w:rsidRPr="001929F8">
        <w:rPr>
          <w:rFonts w:ascii="Arial" w:hAnsi="Arial" w:cs="Arial"/>
          <w:color w:val="auto"/>
          <w:sz w:val="22"/>
          <w:szCs w:val="22"/>
        </w:rPr>
        <w:t xml:space="preserve"> to enable strategic leadership to be provided to both entities</w:t>
      </w:r>
      <w:r w:rsidR="0020238C" w:rsidRPr="001929F8">
        <w:rPr>
          <w:rFonts w:ascii="Arial" w:hAnsi="Arial" w:cs="Arial"/>
          <w:color w:val="auto"/>
          <w:sz w:val="22"/>
          <w:szCs w:val="22"/>
        </w:rPr>
        <w:t>.</w:t>
      </w:r>
    </w:p>
    <w:p w:rsidR="00FC4EE8" w:rsidRPr="009A1FA1" w:rsidRDefault="00FC4EE8" w:rsidP="005F6C3F">
      <w:pPr>
        <w:numPr>
          <w:ilvl w:val="0"/>
          <w:numId w:val="1"/>
        </w:numPr>
        <w:tabs>
          <w:tab w:val="clear" w:pos="720"/>
          <w:tab w:val="num" w:pos="360"/>
        </w:tabs>
        <w:spacing w:before="240" w:after="240"/>
        <w:ind w:left="357" w:hanging="357"/>
        <w:jc w:val="both"/>
        <w:rPr>
          <w:rFonts w:ascii="Arial" w:hAnsi="Arial" w:cs="Arial"/>
          <w:sz w:val="22"/>
          <w:szCs w:val="22"/>
        </w:rPr>
      </w:pPr>
      <w:r w:rsidRPr="009A1FA1">
        <w:rPr>
          <w:rFonts w:ascii="Arial" w:hAnsi="Arial" w:cs="Arial"/>
          <w:sz w:val="22"/>
          <w:szCs w:val="22"/>
          <w:u w:val="single"/>
        </w:rPr>
        <w:t xml:space="preserve">Cabinet </w:t>
      </w:r>
      <w:r w:rsidR="00DD62E1" w:rsidRPr="009A1FA1">
        <w:rPr>
          <w:rFonts w:ascii="Arial" w:hAnsi="Arial" w:cs="Arial"/>
          <w:sz w:val="22"/>
          <w:szCs w:val="22"/>
          <w:u w:val="single"/>
        </w:rPr>
        <w:t>endorsed</w:t>
      </w:r>
      <w:r w:rsidRPr="009A1FA1">
        <w:rPr>
          <w:rFonts w:ascii="Arial" w:hAnsi="Arial" w:cs="Arial"/>
          <w:sz w:val="22"/>
          <w:szCs w:val="22"/>
        </w:rPr>
        <w:t xml:space="preserve"> that the Governor in Council approve the appointments and terms to the Mount Isa Water </w:t>
      </w:r>
      <w:r w:rsidR="009A1FA1">
        <w:rPr>
          <w:rFonts w:ascii="Arial" w:hAnsi="Arial" w:cs="Arial"/>
          <w:sz w:val="22"/>
          <w:szCs w:val="22"/>
        </w:rPr>
        <w:t>B</w:t>
      </w:r>
      <w:r w:rsidRPr="009A1FA1">
        <w:rPr>
          <w:rFonts w:ascii="Arial" w:hAnsi="Arial" w:cs="Arial"/>
          <w:sz w:val="22"/>
          <w:szCs w:val="22"/>
        </w:rPr>
        <w:t xml:space="preserve">oard and </w:t>
      </w:r>
      <w:r w:rsidR="009A1FA1">
        <w:rPr>
          <w:rFonts w:ascii="Arial" w:hAnsi="Arial" w:cs="Arial"/>
          <w:sz w:val="22"/>
          <w:szCs w:val="22"/>
        </w:rPr>
        <w:t xml:space="preserve">the </w:t>
      </w:r>
      <w:r w:rsidRPr="009A1FA1">
        <w:rPr>
          <w:rFonts w:ascii="Arial" w:hAnsi="Arial" w:cs="Arial"/>
          <w:sz w:val="22"/>
          <w:szCs w:val="22"/>
        </w:rPr>
        <w:t xml:space="preserve">Gladstone Area Water Board </w:t>
      </w:r>
      <w:r w:rsidR="00011815" w:rsidRPr="009A1FA1">
        <w:rPr>
          <w:rFonts w:ascii="Arial" w:hAnsi="Arial" w:cs="Arial"/>
          <w:sz w:val="22"/>
          <w:szCs w:val="22"/>
        </w:rPr>
        <w:t>as below:</w:t>
      </w: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0"/>
        <w:gridCol w:w="1462"/>
        <w:gridCol w:w="2976"/>
        <w:gridCol w:w="2268"/>
      </w:tblGrid>
      <w:tr w:rsidR="00011815" w:rsidRPr="005F6C3F" w:rsidTr="00860BF7">
        <w:tc>
          <w:tcPr>
            <w:tcW w:w="1940" w:type="dxa"/>
          </w:tcPr>
          <w:p w:rsidR="00011815" w:rsidRPr="005F6C3F" w:rsidRDefault="00011815" w:rsidP="005F6C3F">
            <w:pPr>
              <w:pStyle w:val="Default"/>
              <w:spacing w:before="60" w:after="60"/>
              <w:rPr>
                <w:rFonts w:ascii="Arial" w:hAnsi="Arial" w:cs="Arial"/>
                <w:sz w:val="22"/>
                <w:szCs w:val="22"/>
                <w:u w:val="single"/>
              </w:rPr>
            </w:pPr>
            <w:r w:rsidRPr="005F6C3F">
              <w:rPr>
                <w:rFonts w:ascii="Arial" w:hAnsi="Arial" w:cs="Arial"/>
                <w:sz w:val="22"/>
                <w:szCs w:val="22"/>
                <w:u w:val="single"/>
              </w:rPr>
              <w:t>Name</w:t>
            </w:r>
          </w:p>
        </w:tc>
        <w:tc>
          <w:tcPr>
            <w:tcW w:w="1462" w:type="dxa"/>
          </w:tcPr>
          <w:p w:rsidR="00011815" w:rsidRPr="005F6C3F" w:rsidRDefault="00011815" w:rsidP="005F6C3F">
            <w:pPr>
              <w:pStyle w:val="Default"/>
              <w:spacing w:before="60" w:after="60"/>
              <w:rPr>
                <w:rFonts w:ascii="Arial" w:hAnsi="Arial" w:cs="Arial"/>
                <w:sz w:val="22"/>
                <w:szCs w:val="22"/>
                <w:u w:val="single"/>
              </w:rPr>
            </w:pPr>
            <w:r w:rsidRPr="005F6C3F">
              <w:rPr>
                <w:rFonts w:ascii="Arial" w:hAnsi="Arial" w:cs="Arial"/>
                <w:sz w:val="22"/>
                <w:szCs w:val="22"/>
                <w:u w:val="single"/>
              </w:rPr>
              <w:t>Position</w:t>
            </w:r>
          </w:p>
        </w:tc>
        <w:tc>
          <w:tcPr>
            <w:tcW w:w="2976" w:type="dxa"/>
          </w:tcPr>
          <w:p w:rsidR="00011815" w:rsidRPr="005F6C3F" w:rsidRDefault="00011815" w:rsidP="005F6C3F">
            <w:pPr>
              <w:pStyle w:val="Default"/>
              <w:spacing w:before="60" w:after="60"/>
              <w:rPr>
                <w:rFonts w:ascii="Arial" w:hAnsi="Arial" w:cs="Arial"/>
                <w:sz w:val="22"/>
                <w:szCs w:val="22"/>
                <w:u w:val="single"/>
              </w:rPr>
            </w:pPr>
            <w:r w:rsidRPr="005F6C3F">
              <w:rPr>
                <w:rFonts w:ascii="Arial" w:hAnsi="Arial" w:cs="Arial"/>
                <w:sz w:val="22"/>
                <w:szCs w:val="22"/>
                <w:u w:val="single"/>
              </w:rPr>
              <w:t>Commencement Date</w:t>
            </w:r>
          </w:p>
        </w:tc>
        <w:tc>
          <w:tcPr>
            <w:tcW w:w="2268" w:type="dxa"/>
          </w:tcPr>
          <w:p w:rsidR="00011815" w:rsidRPr="005F6C3F" w:rsidRDefault="00011815" w:rsidP="005F6C3F">
            <w:pPr>
              <w:pStyle w:val="Default"/>
              <w:spacing w:before="60" w:after="60"/>
              <w:rPr>
                <w:rFonts w:ascii="Arial" w:hAnsi="Arial" w:cs="Arial"/>
                <w:sz w:val="22"/>
                <w:szCs w:val="22"/>
                <w:u w:val="single"/>
              </w:rPr>
            </w:pPr>
            <w:r w:rsidRPr="005F6C3F">
              <w:rPr>
                <w:rFonts w:ascii="Arial" w:hAnsi="Arial" w:cs="Arial"/>
                <w:sz w:val="22"/>
                <w:szCs w:val="22"/>
                <w:u w:val="single"/>
              </w:rPr>
              <w:t>Term/Expiry Date</w:t>
            </w:r>
          </w:p>
        </w:tc>
      </w:tr>
      <w:tr w:rsidR="005F6C3F" w:rsidRPr="005F6C3F" w:rsidTr="00860BF7">
        <w:tc>
          <w:tcPr>
            <w:tcW w:w="8646" w:type="dxa"/>
            <w:gridSpan w:val="4"/>
          </w:tcPr>
          <w:p w:rsidR="005F6C3F" w:rsidRPr="005F6C3F" w:rsidRDefault="005F6C3F" w:rsidP="005F6C3F">
            <w:pPr>
              <w:pStyle w:val="Default"/>
              <w:spacing w:before="60" w:after="60"/>
              <w:rPr>
                <w:rFonts w:ascii="Arial" w:hAnsi="Arial" w:cs="Arial"/>
                <w:i/>
                <w:sz w:val="22"/>
                <w:szCs w:val="22"/>
              </w:rPr>
            </w:pPr>
            <w:r w:rsidRPr="005F6C3F">
              <w:rPr>
                <w:rFonts w:ascii="Arial" w:hAnsi="Arial" w:cs="Arial"/>
                <w:i/>
                <w:sz w:val="22"/>
                <w:szCs w:val="22"/>
              </w:rPr>
              <w:t>Mount Isa Water Board</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Rowena McNally</w:t>
            </w:r>
          </w:p>
        </w:tc>
        <w:tc>
          <w:tcPr>
            <w:tcW w:w="1462"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Chair</w:t>
            </w:r>
          </w:p>
        </w:tc>
        <w:tc>
          <w:tcPr>
            <w:tcW w:w="2976" w:type="dxa"/>
            <w:vMerge w:val="restart"/>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Date of Governor in Council approval</w:t>
            </w: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1 Year</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Myles Johnston</w:t>
            </w:r>
          </w:p>
        </w:tc>
        <w:tc>
          <w:tcPr>
            <w:tcW w:w="1462"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Director</w:t>
            </w:r>
          </w:p>
        </w:tc>
        <w:tc>
          <w:tcPr>
            <w:tcW w:w="2976" w:type="dxa"/>
            <w:vMerge/>
          </w:tcPr>
          <w:p w:rsidR="005F6C3F" w:rsidRPr="005F6C3F" w:rsidRDefault="005F6C3F" w:rsidP="005F6C3F">
            <w:pPr>
              <w:spacing w:before="60" w:after="60"/>
            </w:pP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3 Years</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Neil Hatherly</w:t>
            </w:r>
          </w:p>
        </w:tc>
        <w:tc>
          <w:tcPr>
            <w:tcW w:w="1462"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Director</w:t>
            </w:r>
          </w:p>
        </w:tc>
        <w:tc>
          <w:tcPr>
            <w:tcW w:w="2976" w:type="dxa"/>
            <w:vMerge/>
          </w:tcPr>
          <w:p w:rsidR="005F6C3F" w:rsidRPr="005F6C3F" w:rsidRDefault="005F6C3F" w:rsidP="005F6C3F">
            <w:pPr>
              <w:spacing w:before="60" w:after="60"/>
            </w:pP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3 Years</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Alison Bohannan</w:t>
            </w:r>
          </w:p>
        </w:tc>
        <w:tc>
          <w:tcPr>
            <w:tcW w:w="1462"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Director</w:t>
            </w:r>
          </w:p>
        </w:tc>
        <w:tc>
          <w:tcPr>
            <w:tcW w:w="2976" w:type="dxa"/>
            <w:vMerge/>
          </w:tcPr>
          <w:p w:rsidR="005F6C3F" w:rsidRPr="005F6C3F" w:rsidRDefault="005F6C3F" w:rsidP="005F6C3F">
            <w:pPr>
              <w:spacing w:before="60" w:after="60"/>
            </w:pP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3 Years</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Brett Peterson</w:t>
            </w:r>
          </w:p>
        </w:tc>
        <w:tc>
          <w:tcPr>
            <w:tcW w:w="1462"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Director</w:t>
            </w:r>
          </w:p>
        </w:tc>
        <w:tc>
          <w:tcPr>
            <w:tcW w:w="2976" w:type="dxa"/>
            <w:vMerge/>
          </w:tcPr>
          <w:p w:rsidR="005F6C3F" w:rsidRPr="005F6C3F" w:rsidRDefault="005F6C3F" w:rsidP="005F6C3F">
            <w:pPr>
              <w:spacing w:before="60" w:after="60"/>
            </w:pP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30 September 2015</w:t>
            </w:r>
          </w:p>
        </w:tc>
      </w:tr>
      <w:tr w:rsidR="005F6C3F" w:rsidRPr="005F6C3F" w:rsidTr="00860BF7">
        <w:tc>
          <w:tcPr>
            <w:tcW w:w="8646" w:type="dxa"/>
            <w:gridSpan w:val="4"/>
          </w:tcPr>
          <w:p w:rsidR="005F6C3F" w:rsidRPr="005F6C3F" w:rsidRDefault="005F6C3F" w:rsidP="005F6C3F">
            <w:pPr>
              <w:pStyle w:val="Default"/>
              <w:spacing w:before="60" w:after="60"/>
              <w:rPr>
                <w:rFonts w:ascii="Arial" w:hAnsi="Arial" w:cs="Arial"/>
                <w:i/>
                <w:sz w:val="22"/>
                <w:szCs w:val="22"/>
              </w:rPr>
            </w:pPr>
            <w:r w:rsidRPr="005F6C3F">
              <w:rPr>
                <w:rFonts w:ascii="Arial" w:hAnsi="Arial" w:cs="Arial"/>
                <w:i/>
                <w:sz w:val="22"/>
                <w:szCs w:val="22"/>
              </w:rPr>
              <w:t>Gladstone Area Water Board</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Mary Boydell</w:t>
            </w:r>
          </w:p>
        </w:tc>
        <w:tc>
          <w:tcPr>
            <w:tcW w:w="1462"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Chair</w:t>
            </w:r>
          </w:p>
        </w:tc>
        <w:tc>
          <w:tcPr>
            <w:tcW w:w="2976" w:type="dxa"/>
            <w:vMerge w:val="restart"/>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Date of Gazettal</w:t>
            </w: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31 December 2014</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Malcolm Leinster</w:t>
            </w:r>
          </w:p>
        </w:tc>
        <w:tc>
          <w:tcPr>
            <w:tcW w:w="1462"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Director</w:t>
            </w:r>
          </w:p>
        </w:tc>
        <w:tc>
          <w:tcPr>
            <w:tcW w:w="2976" w:type="dxa"/>
            <w:vMerge/>
          </w:tcPr>
          <w:p w:rsidR="005F6C3F" w:rsidRPr="005F6C3F" w:rsidRDefault="005F6C3F" w:rsidP="005F6C3F">
            <w:pPr>
              <w:spacing w:before="60" w:after="60"/>
            </w:pP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3 Years</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Denis Cook</w:t>
            </w:r>
          </w:p>
        </w:tc>
        <w:tc>
          <w:tcPr>
            <w:tcW w:w="1462" w:type="dxa"/>
          </w:tcPr>
          <w:p w:rsidR="005F6C3F" w:rsidRPr="005F6C3F" w:rsidRDefault="005F6C3F" w:rsidP="005F6C3F">
            <w:pPr>
              <w:spacing w:before="60" w:after="60"/>
            </w:pPr>
            <w:r w:rsidRPr="005F6C3F">
              <w:rPr>
                <w:rFonts w:ascii="Arial" w:hAnsi="Arial" w:cs="Arial"/>
                <w:sz w:val="22"/>
                <w:szCs w:val="22"/>
              </w:rPr>
              <w:t>Director</w:t>
            </w:r>
          </w:p>
        </w:tc>
        <w:tc>
          <w:tcPr>
            <w:tcW w:w="2976" w:type="dxa"/>
            <w:vMerge/>
          </w:tcPr>
          <w:p w:rsidR="005F6C3F" w:rsidRPr="005F6C3F" w:rsidRDefault="005F6C3F" w:rsidP="005F6C3F">
            <w:pPr>
              <w:spacing w:before="60" w:after="60"/>
            </w:pP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3 Years</w:t>
            </w:r>
          </w:p>
        </w:tc>
      </w:tr>
      <w:tr w:rsidR="005F6C3F" w:rsidRPr="005F6C3F" w:rsidTr="00860BF7">
        <w:tc>
          <w:tcPr>
            <w:tcW w:w="1940"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Patrice Brown</w:t>
            </w:r>
          </w:p>
        </w:tc>
        <w:tc>
          <w:tcPr>
            <w:tcW w:w="1462" w:type="dxa"/>
          </w:tcPr>
          <w:p w:rsidR="005F6C3F" w:rsidRPr="005F6C3F" w:rsidRDefault="005F6C3F" w:rsidP="005F6C3F">
            <w:pPr>
              <w:spacing w:before="60" w:after="60"/>
            </w:pPr>
            <w:r w:rsidRPr="005F6C3F">
              <w:rPr>
                <w:rFonts w:ascii="Arial" w:hAnsi="Arial" w:cs="Arial"/>
                <w:sz w:val="22"/>
                <w:szCs w:val="22"/>
              </w:rPr>
              <w:t>Director</w:t>
            </w:r>
          </w:p>
        </w:tc>
        <w:tc>
          <w:tcPr>
            <w:tcW w:w="2976" w:type="dxa"/>
            <w:vMerge/>
          </w:tcPr>
          <w:p w:rsidR="005F6C3F" w:rsidRPr="005F6C3F" w:rsidRDefault="005F6C3F" w:rsidP="005F6C3F">
            <w:pPr>
              <w:spacing w:before="60" w:after="60"/>
            </w:pPr>
          </w:p>
        </w:tc>
        <w:tc>
          <w:tcPr>
            <w:tcW w:w="2268" w:type="dxa"/>
          </w:tcPr>
          <w:p w:rsidR="005F6C3F" w:rsidRPr="005F6C3F" w:rsidRDefault="005F6C3F" w:rsidP="005F6C3F">
            <w:pPr>
              <w:pStyle w:val="Default"/>
              <w:spacing w:before="60" w:after="60"/>
              <w:rPr>
                <w:rFonts w:ascii="Arial" w:hAnsi="Arial" w:cs="Arial"/>
                <w:sz w:val="22"/>
                <w:szCs w:val="22"/>
              </w:rPr>
            </w:pPr>
            <w:r w:rsidRPr="005F6C3F">
              <w:rPr>
                <w:rFonts w:ascii="Arial" w:hAnsi="Arial" w:cs="Arial"/>
                <w:sz w:val="22"/>
                <w:szCs w:val="22"/>
              </w:rPr>
              <w:t>3 Years</w:t>
            </w:r>
          </w:p>
        </w:tc>
      </w:tr>
      <w:tr w:rsidR="005F6C3F" w:rsidRPr="00404701" w:rsidTr="00860BF7">
        <w:tc>
          <w:tcPr>
            <w:tcW w:w="1940" w:type="dxa"/>
          </w:tcPr>
          <w:p w:rsidR="005F6C3F" w:rsidRPr="00404701" w:rsidRDefault="005F6C3F" w:rsidP="005F6C3F">
            <w:pPr>
              <w:pStyle w:val="Default"/>
              <w:spacing w:before="60" w:after="60"/>
              <w:rPr>
                <w:rFonts w:ascii="Arial" w:hAnsi="Arial" w:cs="Arial"/>
                <w:sz w:val="22"/>
                <w:szCs w:val="22"/>
              </w:rPr>
            </w:pPr>
            <w:r w:rsidRPr="00404701">
              <w:rPr>
                <w:rFonts w:ascii="Arial" w:hAnsi="Arial" w:cs="Arial"/>
                <w:sz w:val="22"/>
                <w:szCs w:val="22"/>
              </w:rPr>
              <w:t>Graham McDonald</w:t>
            </w:r>
          </w:p>
        </w:tc>
        <w:tc>
          <w:tcPr>
            <w:tcW w:w="1462" w:type="dxa"/>
          </w:tcPr>
          <w:p w:rsidR="005F6C3F" w:rsidRDefault="005F6C3F" w:rsidP="005F6C3F">
            <w:pPr>
              <w:spacing w:before="60" w:after="60"/>
            </w:pPr>
            <w:r w:rsidRPr="00404701">
              <w:rPr>
                <w:rFonts w:ascii="Arial" w:hAnsi="Arial" w:cs="Arial"/>
                <w:sz w:val="22"/>
                <w:szCs w:val="22"/>
              </w:rPr>
              <w:t>Director</w:t>
            </w:r>
          </w:p>
        </w:tc>
        <w:tc>
          <w:tcPr>
            <w:tcW w:w="2976" w:type="dxa"/>
            <w:vMerge/>
          </w:tcPr>
          <w:p w:rsidR="005F6C3F" w:rsidRDefault="005F6C3F" w:rsidP="005F6C3F">
            <w:pPr>
              <w:spacing w:before="60" w:after="60"/>
            </w:pPr>
          </w:p>
        </w:tc>
        <w:tc>
          <w:tcPr>
            <w:tcW w:w="2268" w:type="dxa"/>
          </w:tcPr>
          <w:p w:rsidR="005F6C3F" w:rsidRPr="00404701" w:rsidRDefault="005F6C3F" w:rsidP="005F6C3F">
            <w:pPr>
              <w:pStyle w:val="Default"/>
              <w:spacing w:before="60" w:after="60"/>
              <w:rPr>
                <w:rFonts w:ascii="Arial" w:hAnsi="Arial" w:cs="Arial"/>
                <w:sz w:val="22"/>
                <w:szCs w:val="22"/>
              </w:rPr>
            </w:pPr>
            <w:r w:rsidRPr="00404701">
              <w:rPr>
                <w:rFonts w:ascii="Arial" w:hAnsi="Arial" w:cs="Arial"/>
                <w:sz w:val="22"/>
                <w:szCs w:val="22"/>
              </w:rPr>
              <w:t>30 September 2015</w:t>
            </w:r>
          </w:p>
        </w:tc>
      </w:tr>
    </w:tbl>
    <w:p w:rsidR="008A5683" w:rsidRPr="00C07656" w:rsidRDefault="008A5683" w:rsidP="008A5683">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011815" w:rsidRPr="008A5683" w:rsidRDefault="008A5683" w:rsidP="008A5683">
      <w:pPr>
        <w:numPr>
          <w:ilvl w:val="0"/>
          <w:numId w:val="2"/>
        </w:numPr>
        <w:spacing w:before="120"/>
        <w:ind w:left="811"/>
        <w:jc w:val="both"/>
        <w:rPr>
          <w:rFonts w:ascii="Arial" w:hAnsi="Arial" w:cs="Arial"/>
          <w:sz w:val="22"/>
          <w:szCs w:val="22"/>
        </w:rPr>
      </w:pPr>
      <w:r>
        <w:rPr>
          <w:rFonts w:ascii="Arial" w:hAnsi="Arial" w:cs="Arial"/>
          <w:sz w:val="22"/>
          <w:szCs w:val="22"/>
        </w:rPr>
        <w:t>Nil.</w:t>
      </w:r>
    </w:p>
    <w:sectPr w:rsidR="00011815" w:rsidRPr="008A5683" w:rsidSect="008A5683">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43" w:rsidRDefault="000E3243" w:rsidP="00D6589B">
      <w:r>
        <w:separator/>
      </w:r>
    </w:p>
  </w:endnote>
  <w:endnote w:type="continuationSeparator" w:id="0">
    <w:p w:rsidR="000E3243" w:rsidRDefault="000E324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43" w:rsidRDefault="000E3243" w:rsidP="00D6589B">
      <w:r>
        <w:separator/>
      </w:r>
    </w:p>
  </w:footnote>
  <w:footnote w:type="continuationSeparator" w:id="0">
    <w:p w:rsidR="000E3243" w:rsidRDefault="000E3243"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90764">
      <w:rPr>
        <w:rFonts w:ascii="Arial" w:hAnsi="Arial" w:cs="Arial"/>
        <w:b/>
        <w:color w:val="auto"/>
        <w:sz w:val="22"/>
        <w:szCs w:val="22"/>
        <w:lang w:eastAsia="en-US"/>
      </w:rPr>
      <w:t>May 2014</w:t>
    </w:r>
  </w:p>
  <w:p w:rsidR="00CB1501" w:rsidRDefault="00690764" w:rsidP="00D6589B">
    <w:pPr>
      <w:pStyle w:val="Header"/>
      <w:spacing w:before="120"/>
      <w:rPr>
        <w:rFonts w:ascii="Arial" w:hAnsi="Arial" w:cs="Arial"/>
        <w:b/>
        <w:sz w:val="22"/>
        <w:szCs w:val="22"/>
        <w:u w:val="single"/>
      </w:rPr>
    </w:pPr>
    <w:r>
      <w:rPr>
        <w:rFonts w:ascii="Arial" w:hAnsi="Arial" w:cs="Arial"/>
        <w:b/>
        <w:sz w:val="22"/>
        <w:szCs w:val="22"/>
        <w:u w:val="single"/>
      </w:rPr>
      <w:t>Appointment of Chairs and Directors of Gladstone Area Water Board and Mount Isa Water Board</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690764">
      <w:rPr>
        <w:rFonts w:ascii="Arial" w:hAnsi="Arial" w:cs="Arial"/>
        <w:b/>
        <w:sz w:val="22"/>
        <w:szCs w:val="22"/>
        <w:u w:val="single"/>
      </w:rPr>
      <w:t xml:space="preserve"> for Energy and Water Supply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7F0AC8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F9"/>
    <w:rsid w:val="00011815"/>
    <w:rsid w:val="00012470"/>
    <w:rsid w:val="000210F9"/>
    <w:rsid w:val="00080F8F"/>
    <w:rsid w:val="000D6793"/>
    <w:rsid w:val="000E3243"/>
    <w:rsid w:val="0010384C"/>
    <w:rsid w:val="00114A8F"/>
    <w:rsid w:val="00174117"/>
    <w:rsid w:val="001929F8"/>
    <w:rsid w:val="001C7943"/>
    <w:rsid w:val="0020238C"/>
    <w:rsid w:val="002266A8"/>
    <w:rsid w:val="002C5564"/>
    <w:rsid w:val="0034377B"/>
    <w:rsid w:val="003A3BDD"/>
    <w:rsid w:val="00404701"/>
    <w:rsid w:val="004922C1"/>
    <w:rsid w:val="00501C66"/>
    <w:rsid w:val="00550873"/>
    <w:rsid w:val="005C34BE"/>
    <w:rsid w:val="005C7291"/>
    <w:rsid w:val="005F6C3F"/>
    <w:rsid w:val="00690764"/>
    <w:rsid w:val="007265D0"/>
    <w:rsid w:val="00732E22"/>
    <w:rsid w:val="00741C20"/>
    <w:rsid w:val="007502C1"/>
    <w:rsid w:val="007D05D2"/>
    <w:rsid w:val="007F3A44"/>
    <w:rsid w:val="007F44F4"/>
    <w:rsid w:val="008578D4"/>
    <w:rsid w:val="00860BF7"/>
    <w:rsid w:val="00874AA2"/>
    <w:rsid w:val="008A5683"/>
    <w:rsid w:val="008C631E"/>
    <w:rsid w:val="00904077"/>
    <w:rsid w:val="00937A4A"/>
    <w:rsid w:val="00964590"/>
    <w:rsid w:val="009A1FA1"/>
    <w:rsid w:val="009A439B"/>
    <w:rsid w:val="009D0AA6"/>
    <w:rsid w:val="00B015DD"/>
    <w:rsid w:val="00C330F1"/>
    <w:rsid w:val="00C75E67"/>
    <w:rsid w:val="00CB1501"/>
    <w:rsid w:val="00CD7A50"/>
    <w:rsid w:val="00CF0D8A"/>
    <w:rsid w:val="00D13D96"/>
    <w:rsid w:val="00D6589B"/>
    <w:rsid w:val="00D8704B"/>
    <w:rsid w:val="00DB5762"/>
    <w:rsid w:val="00DD62E1"/>
    <w:rsid w:val="00E37218"/>
    <w:rsid w:val="00E51752"/>
    <w:rsid w:val="00E701C7"/>
    <w:rsid w:val="00E7755C"/>
    <w:rsid w:val="00F45B99"/>
    <w:rsid w:val="00FC4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customStyle="1" w:styleId="Default">
    <w:name w:val="Default"/>
    <w:rsid w:val="000210F9"/>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01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880d6f0acf39f51e96f685cbf677ad9f">
  <xsd:schema xmlns:xsd="http://www.w3.org/2001/XMLSchema" xmlns:xs="http://www.w3.org/2001/XMLSchema" xmlns:p="http://schemas.microsoft.com/office/2006/metadata/properties" targetNamespace="http://schemas.microsoft.com/office/2006/metadata/properties" ma:root="true" ma:fieldsID="ada496a0558425fe14be9748e1664e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DB1A-2DA2-4A05-B322-EECBDC1C9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5C8D65-6452-4DDE-9CFA-B8D80890B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8F066-E08D-49C4-A0AB-0DE98F8AA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1658</Characters>
  <Application>Microsoft Office Word</Application>
  <DocSecurity>0</DocSecurity>
  <Lines>67</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1922</CharactersWithSpaces>
  <SharedDoc>false</SharedDoc>
  <HyperlinkBase>https://www.cabinet.qld.gov.au/documents/2014/May/appts Water/</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2017-10-25T01:16:00Z</dcterms:created>
  <dcterms:modified xsi:type="dcterms:W3CDTF">2018-03-06T01:26:00Z</dcterms:modified>
  <cp:category>Significant_Appointments,Water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0x01010064BE853DE2347F4181EBA6EDC010AAFD</vt:lpwstr>
  </property>
</Properties>
</file>